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77" w:rsidRDefault="00FC7FA0"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bookmarkStart w:id="0" w:name="_GoBack"/>
      <w:bookmarkEnd w:id="0"/>
      <w:r w:rsidRPr="00FC7FA0">
        <w:rPr>
          <w:rFonts w:ascii="Times New Roman" w:eastAsia="Times New Roman"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Pr="00FC7FA0" w:rsidRDefault="00FC7FA0">
      <w:pPr>
        <w:rPr>
          <w:rFonts w:ascii="Times New Roman" w:eastAsia="Calibri" w:hAnsi="Times New Roman" w:cs="Times New Roman"/>
          <w:color w:val="auto"/>
          <w:sz w:val="28"/>
          <w:szCs w:val="28"/>
          <w:lang w:val="en-US" w:eastAsia="en-US"/>
        </w:rPr>
      </w:pPr>
      <w:r w:rsidRPr="00FC7FA0">
        <w:rPr>
          <w:rFonts w:ascii="Times New Roman" w:eastAsia="Times New Roman" w:hAnsi="Times New Roman" w:cs="Times New Roman"/>
          <w:noProof/>
          <w:sz w:val="28"/>
          <w:szCs w:val="20"/>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1" w:name="_Toc2"/>
      <w:bookmarkStart w:id="2"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5131BA">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1"/>
    <w:bookmarkEnd w:id="2"/>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5131BA">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5131BA">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6B4436">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5131BA">
        <w:rPr>
          <w:rFonts w:ascii="Times New Roman" w:eastAsia="Calibri" w:hAnsi="Times New Roman" w:cs="Times New Roman"/>
          <w:color w:val="auto"/>
          <w:sz w:val="28"/>
          <w:szCs w:val="28"/>
          <w:highlight w:val="yellow"/>
          <w:lang w:eastAsia="en-US"/>
        </w:rPr>
        <w:t>Задача</w:t>
      </w:r>
      <w:r w:rsidR="00E62E84" w:rsidRPr="005131BA">
        <w:rPr>
          <w:rFonts w:ascii="Times New Roman" w:eastAsia="Calibri" w:hAnsi="Times New Roman" w:cs="Times New Roman"/>
          <w:color w:val="auto"/>
          <w:sz w:val="28"/>
          <w:szCs w:val="28"/>
          <w:highlight w:val="yellow"/>
          <w:lang w:eastAsia="en-US"/>
        </w:rPr>
        <w:t>ми</w:t>
      </w:r>
      <w:r w:rsidR="007D16F9" w:rsidRPr="005131BA">
        <w:rPr>
          <w:rFonts w:ascii="Times New Roman" w:eastAsia="Calibri" w:hAnsi="Times New Roman" w:cs="Times New Roman"/>
          <w:color w:val="auto"/>
          <w:sz w:val="28"/>
          <w:szCs w:val="28"/>
          <w:highlight w:val="yellow"/>
          <w:lang w:eastAsia="en-US"/>
        </w:rPr>
        <w:t xml:space="preserve"> Центров </w:t>
      </w:r>
      <w:r w:rsidR="00E62E84" w:rsidRPr="005131BA">
        <w:rPr>
          <w:rFonts w:ascii="Times New Roman" w:eastAsia="Calibri" w:hAnsi="Times New Roman" w:cs="Times New Roman"/>
          <w:color w:val="auto"/>
          <w:sz w:val="28"/>
          <w:szCs w:val="28"/>
          <w:highlight w:val="yellow"/>
          <w:lang w:eastAsia="en-US"/>
        </w:rPr>
        <w:t>являются</w:t>
      </w:r>
      <w:r w:rsidR="005131BA" w:rsidRPr="005131BA">
        <w:rPr>
          <w:rFonts w:ascii="Times New Roman" w:eastAsia="Calibri" w:hAnsi="Times New Roman" w:cs="Times New Roman"/>
          <w:color w:val="auto"/>
          <w:sz w:val="28"/>
          <w:szCs w:val="28"/>
          <w:highlight w:val="yellow"/>
          <w:lang w:eastAsia="en-US"/>
        </w:rPr>
        <w:t xml:space="preserve"> </w:t>
      </w:r>
      <w:r w:rsidR="007C3011" w:rsidRPr="005131BA">
        <w:rPr>
          <w:rFonts w:ascii="Times New Roman" w:eastAsia="Calibri" w:hAnsi="Times New Roman" w:cs="Times New Roman"/>
          <w:color w:val="auto"/>
          <w:sz w:val="28"/>
          <w:szCs w:val="28"/>
          <w:highlight w:val="yellow"/>
          <w:lang w:eastAsia="en-US"/>
        </w:rPr>
        <w:t>охват своей деятельностью на обновлен</w:t>
      </w:r>
      <w:r w:rsidR="007E2D65" w:rsidRPr="005131BA">
        <w:rPr>
          <w:rFonts w:ascii="Times New Roman" w:eastAsia="Calibri" w:hAnsi="Times New Roman" w:cs="Times New Roman"/>
          <w:color w:val="auto"/>
          <w:sz w:val="28"/>
          <w:szCs w:val="28"/>
          <w:highlight w:val="yellow"/>
          <w:lang w:eastAsia="en-US"/>
        </w:rPr>
        <w:t>ной материально-технической базе</w:t>
      </w:r>
      <w:r w:rsidR="007C3011" w:rsidRPr="005131BA">
        <w:rPr>
          <w:rFonts w:ascii="Times New Roman" w:eastAsia="Calibri" w:hAnsi="Times New Roman" w:cs="Times New Roman"/>
          <w:color w:val="auto"/>
          <w:sz w:val="28"/>
          <w:szCs w:val="28"/>
          <w:highlight w:val="yellow"/>
          <w:lang w:eastAsia="en-US"/>
        </w:rPr>
        <w:t xml:space="preserve"> не менее </w:t>
      </w:r>
      <w:r w:rsidR="00B664E7" w:rsidRPr="005131BA">
        <w:rPr>
          <w:rFonts w:ascii="Times New Roman" w:eastAsia="Calibri" w:hAnsi="Times New Roman" w:cs="Times New Roman"/>
          <w:color w:val="auto"/>
          <w:sz w:val="28"/>
          <w:szCs w:val="28"/>
          <w:highlight w:val="yellow"/>
          <w:lang w:eastAsia="en-US"/>
        </w:rPr>
        <w:t>100%</w:t>
      </w:r>
      <w:r w:rsidR="009A19F3" w:rsidRPr="005131BA">
        <w:rPr>
          <w:rFonts w:ascii="Times New Roman" w:eastAsia="Calibri" w:hAnsi="Times New Roman" w:cs="Times New Roman"/>
          <w:color w:val="auto"/>
          <w:sz w:val="28"/>
          <w:szCs w:val="28"/>
          <w:highlight w:val="yellow"/>
          <w:lang w:val="en-US" w:eastAsia="en-US"/>
        </w:rPr>
        <w:t> </w:t>
      </w:r>
      <w:r w:rsidR="00E62E84" w:rsidRPr="005131BA">
        <w:rPr>
          <w:rFonts w:ascii="Times New Roman" w:hAnsi="Times New Roman" w:cs="Times New Roman"/>
          <w:sz w:val="28"/>
          <w:szCs w:val="28"/>
          <w:highlight w:val="yellow"/>
        </w:rPr>
        <w:t xml:space="preserve"> обучающихся</w:t>
      </w:r>
      <w:r w:rsidR="00782F94" w:rsidRPr="005131BA">
        <w:rPr>
          <w:rFonts w:ascii="Times New Roman" w:hAnsi="Times New Roman" w:cs="Times New Roman"/>
          <w:sz w:val="28"/>
          <w:szCs w:val="28"/>
          <w:highlight w:val="yellow"/>
        </w:rPr>
        <w:t xml:space="preserve"> образовательной организации</w:t>
      </w:r>
      <w:r w:rsidR="00F316FF" w:rsidRPr="005131BA">
        <w:rPr>
          <w:rFonts w:ascii="Times New Roman" w:eastAsia="Calibri" w:hAnsi="Times New Roman" w:cs="Times New Roman"/>
          <w:color w:val="auto"/>
          <w:sz w:val="28"/>
          <w:szCs w:val="28"/>
          <w:highlight w:val="yellow"/>
          <w:lang w:eastAsia="en-US"/>
        </w:rPr>
        <w:t xml:space="preserve">, осваивающих основную общеобразовательную программу </w:t>
      </w:r>
      <w:r w:rsidR="00782F94" w:rsidRPr="005131BA">
        <w:rPr>
          <w:rFonts w:ascii="Times New Roman" w:eastAsia="Calibri" w:hAnsi="Times New Roman" w:cs="Times New Roman"/>
          <w:color w:val="auto"/>
          <w:sz w:val="28"/>
          <w:szCs w:val="28"/>
          <w:highlight w:val="yellow"/>
          <w:lang w:eastAsia="en-US"/>
        </w:rPr>
        <w:t xml:space="preserve">по предметным областям </w:t>
      </w:r>
      <w:r w:rsidR="00C62885" w:rsidRPr="005131BA">
        <w:rPr>
          <w:rFonts w:ascii="Times New Roman" w:hAnsi="Times New Roman" w:cs="Times New Roman"/>
          <w:sz w:val="28"/>
          <w:szCs w:val="28"/>
          <w:highlight w:val="yellow"/>
        </w:rPr>
        <w:t>«Технология», «Математика и информатика», «Физическая культура и основы безопасности жизнедеятельности»</w:t>
      </w:r>
      <w:r w:rsidR="007C3011" w:rsidRPr="005131BA">
        <w:rPr>
          <w:rFonts w:ascii="Times New Roman" w:hAnsi="Times New Roman" w:cs="Times New Roman"/>
          <w:sz w:val="28"/>
          <w:szCs w:val="28"/>
          <w:highlight w:val="yellow"/>
        </w:rPr>
        <w:t>,</w:t>
      </w:r>
      <w:r w:rsidR="005131BA" w:rsidRPr="005131BA">
        <w:rPr>
          <w:rFonts w:ascii="Times New Roman" w:hAnsi="Times New Roman" w:cs="Times New Roman"/>
          <w:sz w:val="28"/>
          <w:szCs w:val="28"/>
          <w:highlight w:val="yellow"/>
        </w:rPr>
        <w:t xml:space="preserve"> </w:t>
      </w:r>
      <w:r w:rsidRPr="005131BA">
        <w:rPr>
          <w:rFonts w:ascii="Times New Roman" w:eastAsia="Calibri" w:hAnsi="Times New Roman" w:cs="Times New Roman"/>
          <w:color w:val="auto"/>
          <w:sz w:val="28"/>
          <w:szCs w:val="28"/>
          <w:highlight w:val="yellow"/>
          <w:lang w:eastAsia="en-US"/>
        </w:rPr>
        <w:t xml:space="preserve">а также </w:t>
      </w:r>
      <w:r w:rsidR="007C3011" w:rsidRPr="005131BA">
        <w:rPr>
          <w:rFonts w:ascii="Times New Roman" w:eastAsia="Calibri" w:hAnsi="Times New Roman" w:cs="Times New Roman"/>
          <w:color w:val="auto"/>
          <w:sz w:val="28"/>
          <w:szCs w:val="28"/>
          <w:highlight w:val="yellow"/>
          <w:lang w:eastAsia="en-US"/>
        </w:rPr>
        <w:t xml:space="preserve">обеспечение </w:t>
      </w:r>
      <w:r w:rsidRPr="005131BA">
        <w:rPr>
          <w:rFonts w:ascii="Times New Roman" w:eastAsia="Calibri" w:hAnsi="Times New Roman" w:cs="Times New Roman"/>
          <w:color w:val="auto"/>
          <w:sz w:val="28"/>
          <w:szCs w:val="28"/>
          <w:highlight w:val="yellow"/>
          <w:lang w:eastAsia="en-US"/>
        </w:rPr>
        <w:t>не менее 70%</w:t>
      </w:r>
      <w:r w:rsidR="005131BA" w:rsidRPr="005131BA">
        <w:rPr>
          <w:rFonts w:ascii="Times New Roman" w:eastAsia="Calibri" w:hAnsi="Times New Roman" w:cs="Times New Roman"/>
          <w:color w:val="auto"/>
          <w:sz w:val="28"/>
          <w:szCs w:val="28"/>
          <w:highlight w:val="yellow"/>
          <w:lang w:eastAsia="en-US"/>
        </w:rPr>
        <w:t xml:space="preserve"> </w:t>
      </w:r>
      <w:r w:rsidR="005F54B7" w:rsidRPr="005131BA">
        <w:rPr>
          <w:rFonts w:ascii="Times New Roman" w:eastAsia="Calibri" w:hAnsi="Times New Roman" w:cs="Times New Roman"/>
          <w:color w:val="auto"/>
          <w:sz w:val="28"/>
          <w:szCs w:val="28"/>
          <w:highlight w:val="yellow"/>
          <w:lang w:eastAsia="en-US"/>
        </w:rPr>
        <w:t>охват</w:t>
      </w:r>
      <w:r w:rsidR="007C3011" w:rsidRPr="005131BA">
        <w:rPr>
          <w:rFonts w:ascii="Times New Roman" w:eastAsia="Calibri" w:hAnsi="Times New Roman" w:cs="Times New Roman"/>
          <w:color w:val="auto"/>
          <w:sz w:val="28"/>
          <w:szCs w:val="28"/>
          <w:highlight w:val="yellow"/>
          <w:lang w:eastAsia="en-US"/>
        </w:rPr>
        <w:t xml:space="preserve">а от общего </w:t>
      </w:r>
      <w:r w:rsidR="00D81740" w:rsidRPr="005131BA">
        <w:rPr>
          <w:rFonts w:ascii="Times New Roman" w:eastAsia="Calibri" w:hAnsi="Times New Roman" w:cs="Times New Roman"/>
          <w:color w:val="auto"/>
          <w:sz w:val="28"/>
          <w:szCs w:val="28"/>
          <w:highlight w:val="yellow"/>
          <w:lang w:eastAsia="en-US"/>
        </w:rPr>
        <w:t>контингента</w:t>
      </w:r>
      <w:r w:rsidR="00782F94" w:rsidRPr="005131BA">
        <w:rPr>
          <w:rFonts w:ascii="Times New Roman" w:eastAsia="Calibri" w:hAnsi="Times New Roman" w:cs="Times New Roman"/>
          <w:color w:val="auto"/>
          <w:sz w:val="28"/>
          <w:szCs w:val="28"/>
          <w:highlight w:val="yellow"/>
          <w:lang w:eastAsia="en-US"/>
        </w:rPr>
        <w:t xml:space="preserve"> обучающихся</w:t>
      </w:r>
      <w:r w:rsidR="005131BA" w:rsidRPr="005131BA">
        <w:rPr>
          <w:rFonts w:ascii="Times New Roman" w:eastAsia="Calibri" w:hAnsi="Times New Roman" w:cs="Times New Roman"/>
          <w:color w:val="auto"/>
          <w:sz w:val="28"/>
          <w:szCs w:val="28"/>
          <w:highlight w:val="yellow"/>
          <w:lang w:eastAsia="en-US"/>
        </w:rPr>
        <w:t xml:space="preserve"> </w:t>
      </w:r>
      <w:r w:rsidR="007C3011" w:rsidRPr="005131BA">
        <w:rPr>
          <w:rFonts w:ascii="Times New Roman" w:eastAsia="Calibri" w:hAnsi="Times New Roman" w:cs="Times New Roman"/>
          <w:color w:val="auto"/>
          <w:sz w:val="28"/>
          <w:szCs w:val="28"/>
          <w:highlight w:val="yellow"/>
          <w:lang w:eastAsia="en-US"/>
        </w:rPr>
        <w:t xml:space="preserve">в образовательной организации </w:t>
      </w:r>
      <w:r w:rsidRPr="005131BA">
        <w:rPr>
          <w:rFonts w:ascii="Times New Roman" w:eastAsia="Calibri" w:hAnsi="Times New Roman" w:cs="Times New Roman"/>
          <w:color w:val="auto"/>
          <w:sz w:val="28"/>
          <w:szCs w:val="28"/>
          <w:highlight w:val="yellow"/>
          <w:lang w:eastAsia="en-US"/>
        </w:rPr>
        <w:lastRenderedPageBreak/>
        <w:t>дополнительным</w:t>
      </w:r>
      <w:r w:rsidR="007C3011" w:rsidRPr="005131BA">
        <w:rPr>
          <w:rFonts w:ascii="Times New Roman" w:eastAsia="Calibri" w:hAnsi="Times New Roman" w:cs="Times New Roman"/>
          <w:color w:val="auto"/>
          <w:sz w:val="28"/>
          <w:szCs w:val="28"/>
          <w:highlight w:val="yellow"/>
          <w:lang w:eastAsia="en-US"/>
        </w:rPr>
        <w:t>и</w:t>
      </w:r>
      <w:r w:rsidRPr="005131BA">
        <w:rPr>
          <w:rFonts w:ascii="Times New Roman" w:eastAsia="Calibri" w:hAnsi="Times New Roman" w:cs="Times New Roman"/>
          <w:color w:val="auto"/>
          <w:sz w:val="28"/>
          <w:szCs w:val="28"/>
          <w:highlight w:val="yellow"/>
          <w:lang w:eastAsia="en-US"/>
        </w:rPr>
        <w:t xml:space="preserve"> общеобразовательным</w:t>
      </w:r>
      <w:r w:rsidR="007C3011" w:rsidRPr="005131BA">
        <w:rPr>
          <w:rFonts w:ascii="Times New Roman" w:eastAsia="Calibri" w:hAnsi="Times New Roman" w:cs="Times New Roman"/>
          <w:color w:val="auto"/>
          <w:sz w:val="28"/>
          <w:szCs w:val="28"/>
          <w:highlight w:val="yellow"/>
          <w:lang w:eastAsia="en-US"/>
        </w:rPr>
        <w:t>и</w:t>
      </w:r>
      <w:r w:rsidR="005131BA" w:rsidRPr="005131BA">
        <w:rPr>
          <w:rFonts w:ascii="Times New Roman" w:eastAsia="Calibri" w:hAnsi="Times New Roman" w:cs="Times New Roman"/>
          <w:color w:val="auto"/>
          <w:sz w:val="28"/>
          <w:szCs w:val="28"/>
          <w:highlight w:val="yellow"/>
          <w:lang w:eastAsia="en-US"/>
        </w:rPr>
        <w:t xml:space="preserve"> </w:t>
      </w:r>
      <w:r w:rsidR="007C3011" w:rsidRPr="005131BA">
        <w:rPr>
          <w:rFonts w:ascii="Times New Roman" w:eastAsia="Calibri" w:hAnsi="Times New Roman" w:cs="Times New Roman"/>
          <w:color w:val="auto"/>
          <w:sz w:val="28"/>
          <w:szCs w:val="28"/>
          <w:highlight w:val="yellow"/>
          <w:lang w:eastAsia="en-US"/>
        </w:rPr>
        <w:t>программами</w:t>
      </w:r>
      <w:r w:rsidR="005131BA" w:rsidRPr="005131BA">
        <w:rPr>
          <w:rFonts w:ascii="Times New Roman" w:eastAsia="Calibri" w:hAnsi="Times New Roman" w:cs="Times New Roman"/>
          <w:color w:val="auto"/>
          <w:sz w:val="28"/>
          <w:szCs w:val="28"/>
          <w:highlight w:val="yellow"/>
          <w:lang w:eastAsia="en-US"/>
        </w:rPr>
        <w:t xml:space="preserve"> </w:t>
      </w:r>
      <w:r w:rsidRPr="005131BA">
        <w:rPr>
          <w:rFonts w:ascii="Times New Roman" w:eastAsia="Calibri" w:hAnsi="Times New Roman" w:cs="Times New Roman"/>
          <w:color w:val="auto"/>
          <w:sz w:val="28"/>
          <w:szCs w:val="28"/>
          <w:highlight w:val="yellow"/>
          <w:lang w:eastAsia="en-US"/>
        </w:rPr>
        <w:t>цифрового, естественнонаучного, технического и гуманитарного профилей</w:t>
      </w:r>
      <w:r w:rsidR="00D81740" w:rsidRPr="005131BA">
        <w:rPr>
          <w:rFonts w:ascii="Times New Roman" w:eastAsia="Calibri" w:hAnsi="Times New Roman" w:cs="Times New Roman"/>
          <w:color w:val="auto"/>
          <w:sz w:val="28"/>
          <w:szCs w:val="28"/>
          <w:highlight w:val="yellow"/>
          <w:lang w:eastAsia="en-US"/>
        </w:rPr>
        <w:t xml:space="preserve"> во</w:t>
      </w:r>
      <w:r w:rsidR="009A19F3" w:rsidRPr="005131BA">
        <w:rPr>
          <w:rFonts w:ascii="Times New Roman" w:eastAsia="Calibri" w:hAnsi="Times New Roman" w:cs="Times New Roman"/>
          <w:color w:val="auto"/>
          <w:sz w:val="28"/>
          <w:szCs w:val="28"/>
          <w:highlight w:val="yellow"/>
          <w:lang w:eastAsia="en-US"/>
        </w:rPr>
        <w:t> </w:t>
      </w:r>
      <w:r w:rsidR="00D81740" w:rsidRPr="005131BA">
        <w:rPr>
          <w:rFonts w:ascii="Times New Roman" w:eastAsia="Calibri" w:hAnsi="Times New Roman" w:cs="Times New Roman"/>
          <w:color w:val="auto"/>
          <w:sz w:val="28"/>
          <w:szCs w:val="28"/>
          <w:highlight w:val="yellow"/>
          <w:lang w:eastAsia="en-US"/>
        </w:rPr>
        <w:t>внеурочное время, в том числе с использованием дистанционных форм о</w:t>
      </w:r>
      <w:r w:rsidR="003C4A00" w:rsidRPr="005131BA">
        <w:rPr>
          <w:rFonts w:ascii="Times New Roman" w:eastAsia="Calibri" w:hAnsi="Times New Roman" w:cs="Times New Roman"/>
          <w:color w:val="auto"/>
          <w:sz w:val="28"/>
          <w:szCs w:val="28"/>
          <w:highlight w:val="yellow"/>
          <w:lang w:eastAsia="en-US"/>
        </w:rPr>
        <w:t>бучения и</w:t>
      </w:r>
      <w:r w:rsidR="009A19F3" w:rsidRPr="005131BA">
        <w:rPr>
          <w:rFonts w:ascii="Times New Roman" w:eastAsia="Calibri" w:hAnsi="Times New Roman" w:cs="Times New Roman"/>
          <w:color w:val="auto"/>
          <w:sz w:val="28"/>
          <w:szCs w:val="28"/>
          <w:highlight w:val="yellow"/>
          <w:lang w:eastAsia="en-US"/>
        </w:rPr>
        <w:t> </w:t>
      </w:r>
      <w:r w:rsidR="003C4A00" w:rsidRPr="005131BA">
        <w:rPr>
          <w:rFonts w:ascii="Times New Roman" w:eastAsia="Calibri" w:hAnsi="Times New Roman" w:cs="Times New Roman"/>
          <w:color w:val="auto"/>
          <w:sz w:val="28"/>
          <w:szCs w:val="28"/>
          <w:highlight w:val="yellow"/>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5131BA">
        <w:rPr>
          <w:rFonts w:ascii="Times New Roman" w:eastAsia="Calibri" w:hAnsi="Times New Roman" w:cs="Times New Roman"/>
          <w:color w:val="auto"/>
          <w:sz w:val="28"/>
          <w:szCs w:val="28"/>
          <w:highlight w:val="yellow"/>
          <w:lang w:eastAsia="en-US"/>
        </w:rPr>
        <w:t xml:space="preserve">Рекомендуется также использование инфраструктуры </w:t>
      </w:r>
      <w:r w:rsidR="00D81740" w:rsidRPr="005131BA">
        <w:rPr>
          <w:rFonts w:ascii="Times New Roman" w:eastAsia="Calibri" w:hAnsi="Times New Roman" w:cs="Times New Roman"/>
          <w:color w:val="auto"/>
          <w:sz w:val="28"/>
          <w:szCs w:val="28"/>
          <w:highlight w:val="yellow"/>
          <w:lang w:eastAsia="en-US"/>
        </w:rPr>
        <w:t>Центр</w:t>
      </w:r>
      <w:r w:rsidRPr="005131BA">
        <w:rPr>
          <w:rFonts w:ascii="Times New Roman" w:eastAsia="Calibri" w:hAnsi="Times New Roman" w:cs="Times New Roman"/>
          <w:color w:val="auto"/>
          <w:sz w:val="28"/>
          <w:szCs w:val="28"/>
          <w:highlight w:val="yellow"/>
          <w:lang w:eastAsia="en-US"/>
        </w:rPr>
        <w:t>а</w:t>
      </w:r>
      <w:r w:rsidR="005131BA" w:rsidRPr="005131BA">
        <w:rPr>
          <w:rFonts w:ascii="Times New Roman" w:eastAsia="Calibri" w:hAnsi="Times New Roman" w:cs="Times New Roman"/>
          <w:color w:val="auto"/>
          <w:sz w:val="28"/>
          <w:szCs w:val="28"/>
          <w:highlight w:val="yellow"/>
          <w:lang w:eastAsia="en-US"/>
        </w:rPr>
        <w:t xml:space="preserve"> </w:t>
      </w:r>
      <w:r w:rsidRPr="005131BA">
        <w:rPr>
          <w:rFonts w:ascii="Times New Roman" w:eastAsia="Calibri" w:hAnsi="Times New Roman" w:cs="Times New Roman"/>
          <w:color w:val="auto"/>
          <w:sz w:val="28"/>
          <w:szCs w:val="28"/>
          <w:highlight w:val="yellow"/>
          <w:lang w:eastAsia="en-US"/>
        </w:rPr>
        <w:t>во внеурочное время как</w:t>
      </w:r>
      <w:r w:rsidR="00D81740" w:rsidRPr="005131BA">
        <w:rPr>
          <w:rFonts w:ascii="Times New Roman" w:eastAsia="Calibri" w:hAnsi="Times New Roman" w:cs="Times New Roman"/>
          <w:color w:val="auto"/>
          <w:sz w:val="28"/>
          <w:szCs w:val="28"/>
          <w:highlight w:val="yellow"/>
          <w:lang w:eastAsia="en-US"/>
        </w:rPr>
        <w:t xml:space="preserve"> общественного пространства для развития общекультурных компетенций</w:t>
      </w:r>
      <w:r w:rsidRPr="005131BA">
        <w:rPr>
          <w:rFonts w:ascii="Times New Roman" w:eastAsia="Calibri" w:hAnsi="Times New Roman" w:cs="Times New Roman"/>
          <w:color w:val="auto"/>
          <w:sz w:val="28"/>
          <w:szCs w:val="28"/>
          <w:highlight w:val="yellow"/>
          <w:lang w:eastAsia="en-US"/>
        </w:rPr>
        <w:t xml:space="preserve"> и</w:t>
      </w:r>
      <w:r w:rsidR="00D81740" w:rsidRPr="005131BA">
        <w:rPr>
          <w:rFonts w:ascii="Times New Roman" w:eastAsia="Calibri" w:hAnsi="Times New Roman" w:cs="Times New Roman"/>
          <w:color w:val="auto"/>
          <w:sz w:val="28"/>
          <w:szCs w:val="28"/>
          <w:highlight w:val="yellow"/>
          <w:lang w:eastAsia="en-US"/>
        </w:rPr>
        <w:t xml:space="preserve"> цифрово</w:t>
      </w:r>
      <w:r w:rsidR="004547E0" w:rsidRPr="005131BA">
        <w:rPr>
          <w:rFonts w:ascii="Times New Roman" w:eastAsia="Calibri" w:hAnsi="Times New Roman" w:cs="Times New Roman"/>
          <w:color w:val="auto"/>
          <w:sz w:val="28"/>
          <w:szCs w:val="28"/>
          <w:highlight w:val="yellow"/>
          <w:lang w:eastAsia="en-US"/>
        </w:rPr>
        <w:t>й грамотности</w:t>
      </w:r>
      <w:r w:rsidRPr="005131BA">
        <w:rPr>
          <w:rFonts w:ascii="Times New Roman" w:eastAsia="Calibri" w:hAnsi="Times New Roman" w:cs="Times New Roman"/>
          <w:color w:val="auto"/>
          <w:sz w:val="28"/>
          <w:szCs w:val="28"/>
          <w:highlight w:val="yellow"/>
          <w:lang w:eastAsia="en-US"/>
        </w:rPr>
        <w:t xml:space="preserve"> населения</w:t>
      </w:r>
      <w:r w:rsidR="00D81740" w:rsidRPr="005131BA">
        <w:rPr>
          <w:rFonts w:ascii="Times New Roman" w:eastAsia="Calibri" w:hAnsi="Times New Roman" w:cs="Times New Roman"/>
          <w:color w:val="auto"/>
          <w:sz w:val="28"/>
          <w:szCs w:val="28"/>
          <w:highlight w:val="yellow"/>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5131BA">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5131BA">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5131BA">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005131BA">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5131BA">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5131BA">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5131BA">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5131BA">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92757A" w:rsidRPr="00E86B0F" w:rsidRDefault="0092757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 xml:space="preserve">Зонирование помещений в Центреосуществляется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 xml:space="preserve">площадке, дизайн-проекту и зонированию содержится в </w:t>
      </w:r>
      <w:r w:rsidR="00621601" w:rsidRPr="00E86B0F">
        <w:rPr>
          <w:rFonts w:ascii="Times New Roman" w:eastAsia="Arial Unicode MS" w:hAnsi="Times New Roman" w:cs="Times New Roman"/>
          <w:kern w:val="3"/>
          <w:sz w:val="28"/>
          <w:szCs w:val="28"/>
          <w:bdr w:val="none" w:sz="0" w:space="0" w:color="auto" w:frame="1"/>
        </w:rPr>
        <w:lastRenderedPageBreak/>
        <w:t>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примернымперечнем оборудования</w:t>
      </w:r>
      <w:r w:rsidR="00D00458">
        <w:rPr>
          <w:rFonts w:ascii="Times New Roman" w:eastAsia="Times New Roman" w:hAnsi="Times New Roman" w:cs="Times New Roman"/>
          <w:kern w:val="3"/>
          <w:sz w:val="28"/>
          <w:szCs w:val="28"/>
          <w:bdr w:val="none" w:sz="0" w:space="0" w:color="auto" w:frame="1"/>
          <w:lang w:eastAsia="en-US"/>
        </w:rPr>
        <w:t>, указанным</w:t>
      </w:r>
      <w:r w:rsidR="00AC0A6D" w:rsidRPr="00E86B0F">
        <w:rPr>
          <w:rFonts w:ascii="Times New Roman" w:eastAsia="Times New Roman" w:hAnsi="Times New Roman" w:cs="Times New Roman"/>
          <w:kern w:val="3"/>
          <w:sz w:val="28"/>
          <w:szCs w:val="28"/>
          <w:bdr w:val="none" w:sz="0" w:space="0" w:color="auto" w:frame="1"/>
          <w:lang w:eastAsia="en-US"/>
        </w:rPr>
        <w:t xml:space="preserve"> в </w:t>
      </w:r>
      <w:r w:rsidRPr="00E86B0F">
        <w:rPr>
          <w:rFonts w:ascii="Times New Roman" w:eastAsia="Times New Roman" w:hAnsi="Times New Roman" w:cs="Times New Roman"/>
          <w:kern w:val="3"/>
          <w:sz w:val="28"/>
          <w:szCs w:val="28"/>
          <w:bdr w:val="none" w:sz="0" w:space="0" w:color="auto" w:frame="1"/>
          <w:lang w:eastAsia="en-US"/>
        </w:rPr>
        <w:t>Приложени</w:t>
      </w:r>
      <w:r w:rsidR="00D00458">
        <w:rPr>
          <w:rFonts w:ascii="Times New Roman" w:eastAsia="Times New Roman" w:hAnsi="Times New Roman" w:cs="Times New Roman"/>
          <w:kern w:val="3"/>
          <w:sz w:val="28"/>
          <w:szCs w:val="28"/>
          <w:bdr w:val="none" w:sz="0" w:space="0" w:color="auto" w:frame="1"/>
          <w:lang w:eastAsia="en-US"/>
        </w:rPr>
        <w:t>и</w:t>
      </w:r>
      <w:r w:rsidRPr="00E86B0F">
        <w:rPr>
          <w:rFonts w:ascii="Times New Roman" w:eastAsia="Times New Roman" w:hAnsi="Times New Roman" w:cs="Times New Roman"/>
          <w:kern w:val="3"/>
          <w:sz w:val="28"/>
          <w:szCs w:val="28"/>
          <w:bdr w:val="none" w:sz="0" w:space="0" w:color="auto" w:frame="1"/>
          <w:lang w:eastAsia="en-US"/>
        </w:rPr>
        <w:t xml:space="preserve"> № 2</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w:t>
      </w:r>
      <w:r w:rsidR="00D00458">
        <w:rPr>
          <w:rFonts w:ascii="Times New Roman" w:hAnsi="Times New Roman" w:cs="Times New Roman"/>
          <w:sz w:val="28"/>
          <w:szCs w:val="28"/>
        </w:rPr>
        <w:t>я, работам, услугам, выполняемым, оказываемым</w:t>
      </w:r>
      <w:r w:rsidRPr="00E86B0F">
        <w:rPr>
          <w:rFonts w:ascii="Times New Roman" w:hAnsi="Times New Roman" w:cs="Times New Roman"/>
          <w:sz w:val="28"/>
          <w:szCs w:val="28"/>
        </w:rPr>
        <w:t xml:space="preserve">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D00458" w:rsidRPr="00E86B0F" w:rsidRDefault="00D00458"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w:t>
      </w:r>
      <w:r w:rsidR="007E2D65">
        <w:rPr>
          <w:rFonts w:ascii="Times New Roman" w:eastAsia="Arial Unicode MS" w:hAnsi="Times New Roman" w:cs="Times New Roman"/>
          <w:kern w:val="3"/>
          <w:sz w:val="28"/>
          <w:szCs w:val="28"/>
          <w:bdr w:val="none" w:sz="0" w:space="0" w:color="auto" w:frame="1"/>
        </w:rPr>
        <w:t>в обучения, учебного оборудования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007E2D65">
        <w:rPr>
          <w:rFonts w:ascii="Times New Roman" w:eastAsia="Arial Unicode MS" w:hAnsi="Times New Roman" w:cs="Times New Roman"/>
          <w:kern w:val="3"/>
          <w:sz w:val="28"/>
          <w:szCs w:val="28"/>
          <w:bdr w:val="none" w:sz="0" w:space="0" w:color="auto" w:frame="1"/>
        </w:rPr>
        <w:t xml:space="preserve">, </w:t>
      </w:r>
      <w:r w:rsidRPr="00E86B0F">
        <w:rPr>
          <w:rFonts w:ascii="Times New Roman" w:eastAsia="Arial Unicode MS" w:hAnsi="Times New Roman" w:cs="Times New Roman"/>
          <w:kern w:val="3"/>
          <w:sz w:val="28"/>
          <w:szCs w:val="28"/>
          <w:bdr w:val="none" w:sz="0" w:space="0" w:color="auto" w:frame="1"/>
        </w:rPr>
        <w:t>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w:t>
      </w:r>
      <w:r w:rsidR="0092757A">
        <w:rPr>
          <w:rFonts w:ascii="Times New Roman" w:eastAsia="Arial Unicode MS" w:hAnsi="Times New Roman" w:cs="Times New Roman"/>
          <w:kern w:val="3"/>
          <w:sz w:val="28"/>
          <w:szCs w:val="28"/>
          <w:bdr w:val="none" w:sz="0" w:space="0" w:color="auto" w:frame="1"/>
        </w:rPr>
        <w:t xml:space="preserve">ся создание Центра, организацией </w:t>
      </w:r>
      <w:r w:rsidR="009103E3" w:rsidRPr="00E86B0F">
        <w:rPr>
          <w:rFonts w:ascii="Times New Roman" w:eastAsia="Arial Unicode MS" w:hAnsi="Times New Roman" w:cs="Times New Roman"/>
          <w:kern w:val="3"/>
          <w:sz w:val="28"/>
          <w:szCs w:val="28"/>
          <w:bdr w:val="none" w:sz="0" w:space="0" w:color="auto" w:frame="1"/>
        </w:rPr>
        <w:t xml:space="preserve">и (или) ее учредителем </w:t>
      </w:r>
      <w:r w:rsidR="0092757A">
        <w:rPr>
          <w:rFonts w:ascii="Times New Roman" w:eastAsia="Arial Unicode MS" w:hAnsi="Times New Roman" w:cs="Times New Roman"/>
          <w:kern w:val="3"/>
          <w:sz w:val="28"/>
          <w:szCs w:val="28"/>
          <w:bdr w:val="none" w:sz="0" w:space="0" w:color="auto" w:frame="1"/>
        </w:rPr>
        <w:t xml:space="preserve">должен </w:t>
      </w:r>
      <w:r w:rsidR="009103E3" w:rsidRPr="00E86B0F">
        <w:rPr>
          <w:rFonts w:ascii="Times New Roman" w:eastAsia="Arial Unicode MS" w:hAnsi="Times New Roman" w:cs="Times New Roman"/>
          <w:kern w:val="3"/>
          <w:sz w:val="28"/>
          <w:szCs w:val="28"/>
          <w:bdr w:val="none" w:sz="0" w:space="0" w:color="auto" w:frame="1"/>
        </w:rPr>
        <w:t>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7E2D65" w:rsidRDefault="007E2D6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sectPr w:rsidR="007E2D65" w:rsidSect="00C77938">
          <w:headerReference w:type="default" r:id="rId10"/>
          <w:type w:val="continuous"/>
          <w:pgSz w:w="11906" w:h="16838"/>
          <w:pgMar w:top="1134" w:right="567" w:bottom="1134" w:left="1134" w:header="708" w:footer="708" w:gutter="0"/>
          <w:pgNumType w:start="1"/>
          <w:cols w:space="708"/>
          <w:titlePg/>
          <w:docGrid w:linePitch="360"/>
        </w:sectPr>
      </w:pP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lastRenderedPageBreak/>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w:t>
            </w:r>
            <w:r w:rsidR="00376E88" w:rsidRPr="00E86B0F">
              <w:rPr>
                <w:rFonts w:ascii="Times New Roman" w:eastAsia="Arial Unicode MS" w:hAnsi="Times New Roman" w:cs="Times New Roman"/>
                <w:sz w:val="26"/>
                <w:szCs w:val="26"/>
                <w:bdr w:val="none" w:sz="0" w:space="0" w:color="auto" w:frame="1"/>
              </w:rPr>
              <w:lastRenderedPageBreak/>
              <w:t>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7E2D65">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CF7627" w:rsidP="00CF7627">
      <w:pPr>
        <w:jc w:val="right"/>
        <w:rPr>
          <w:rFonts w:ascii="Times New Roman" w:hAnsi="Times New Roman" w:cs="Times New Roman"/>
          <w:sz w:val="28"/>
          <w:szCs w:val="28"/>
        </w:rPr>
      </w:pPr>
      <w:r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Центров образования цифрового и гуман</w:t>
      </w:r>
      <w:r w:rsidR="007E2D65">
        <w:rPr>
          <w:rFonts w:ascii="Times New Roman" w:hAnsi="Times New Roman" w:cs="Times New Roman"/>
          <w:b/>
          <w:sz w:val="28"/>
          <w:szCs w:val="28"/>
        </w:rPr>
        <w:t xml:space="preserve">итарного профилей «Точка роста» </w:t>
      </w:r>
      <w:r w:rsidRPr="00E86B0F">
        <w:rPr>
          <w:rFonts w:ascii="Times New Roman" w:eastAsia="Times New Roman" w:hAnsi="Times New Roman" w:cs="Times New Roman"/>
          <w:b/>
          <w:bCs/>
          <w:sz w:val="28"/>
          <w:szCs w:val="28"/>
        </w:rPr>
        <w:t xml:space="preserve">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w:t>
            </w:r>
            <w:r w:rsidRPr="000C0CF6">
              <w:rPr>
                <w:rFonts w:ascii="Times New Roman" w:eastAsia="Times New Roman" w:hAnsi="Times New Roman" w:cs="Times New Roman"/>
                <w:sz w:val="26"/>
                <w:szCs w:val="26"/>
              </w:rPr>
              <w:lastRenderedPageBreak/>
              <w:t>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(камень,металл,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D00458" w:rsidRDefault="00C23EC1" w:rsidP="00C23EC1">
      <w:pPr>
        <w:spacing w:line="360" w:lineRule="auto"/>
        <w:rPr>
          <w:rFonts w:ascii="Times New Roman" w:hAnsi="Times New Roman" w:cs="Times New Roman"/>
          <w:b/>
          <w:color w:val="auto"/>
          <w:sz w:val="28"/>
          <w:szCs w:val="28"/>
        </w:rPr>
      </w:pPr>
      <w:r w:rsidRPr="00D00458">
        <w:rPr>
          <w:rFonts w:ascii="Times New Roman" w:eastAsia="Times New Roman" w:hAnsi="Times New Roman" w:cs="Times New Roman"/>
          <w:b/>
          <w:bCs/>
          <w:color w:val="auto"/>
          <w:sz w:val="28"/>
          <w:szCs w:val="28"/>
        </w:rPr>
        <w:t>ВНИМАНИЕ!</w:t>
      </w:r>
    </w:p>
    <w:p w:rsidR="00C23EC1" w:rsidRPr="00D00458" w:rsidRDefault="00C23EC1" w:rsidP="00C23EC1">
      <w:pPr>
        <w:spacing w:line="360" w:lineRule="auto"/>
        <w:rPr>
          <w:rFonts w:ascii="Times New Roman" w:hAnsi="Times New Roman" w:cs="Times New Roman"/>
          <w:b/>
          <w:color w:val="auto"/>
          <w:sz w:val="28"/>
          <w:szCs w:val="28"/>
        </w:rPr>
      </w:pPr>
      <w:r w:rsidRPr="00D00458">
        <w:rPr>
          <w:rFonts w:ascii="Times New Roman" w:eastAsia="Times New Roman" w:hAnsi="Times New Roman" w:cs="Times New Roman"/>
          <w:color w:val="auto"/>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BE41F4">
      <w:pPr>
        <w:rPr>
          <w:rFonts w:ascii="Times New Roman" w:hAnsi="Times New Roman" w:cs="Times New Roman"/>
          <w:sz w:val="28"/>
          <w:szCs w:val="28"/>
        </w:rPr>
      </w:pP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7E2D65"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lastRenderedPageBreak/>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00D00458">
              <w:rPr>
                <w:rFonts w:ascii="Times New Roman" w:hAnsi="Times New Roman" w:cs="Times New Roman"/>
                <w:sz w:val="24"/>
                <w:szCs w:val="24"/>
                <w:lang w:eastAsia="en-US"/>
              </w:rPr>
              <w:t>- м</w:t>
            </w:r>
            <w:r w:rsidRPr="00E86B0F">
              <w:rPr>
                <w:rFonts w:ascii="Times New Roman" w:hAnsi="Times New Roman" w:cs="Times New Roman"/>
                <w:sz w:val="24"/>
                <w:szCs w:val="24"/>
                <w:lang w:eastAsia="en-US"/>
              </w:rPr>
              <w:t>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w:t>
            </w:r>
            <w:r w:rsidRPr="00E86B0F">
              <w:rPr>
                <w:rFonts w:ascii="Times New Roman" w:hAnsi="Times New Roman" w:cs="Times New Roman"/>
                <w:sz w:val="24"/>
                <w:szCs w:val="24"/>
                <w:lang w:eastAsia="en-US"/>
              </w:rPr>
              <w:lastRenderedPageBreak/>
              <w:t>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D00458">
              <w:rPr>
                <w:rFonts w:ascii="Times New Roman" w:hAnsi="Times New Roman" w:cs="Times New Roman"/>
                <w:sz w:val="24"/>
                <w:szCs w:val="24"/>
                <w:lang w:eastAsia="en-US"/>
              </w:rPr>
              <w:t>-и</w:t>
            </w:r>
            <w:r w:rsidR="00F413A7" w:rsidRPr="00E86B0F">
              <w:rPr>
                <w:rFonts w:ascii="Times New Roman" w:hAnsi="Times New Roman" w:cs="Times New Roman"/>
                <w:sz w:val="24"/>
                <w:szCs w:val="24"/>
                <w:lang w:eastAsia="en-US"/>
              </w:rPr>
              <w:t>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D00458">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D00458" w:rsidP="00A0313A">
            <w:pPr>
              <w:rPr>
                <w:rFonts w:ascii="Times New Roman" w:hAnsi="Times New Roman" w:cs="Times New Roman"/>
                <w:sz w:val="24"/>
                <w:szCs w:val="24"/>
                <w:lang w:eastAsia="en-US"/>
              </w:rPr>
            </w:pPr>
            <w:r>
              <w:rPr>
                <w:rFonts w:ascii="Times New Roman" w:hAnsi="Times New Roman" w:cs="Times New Roman"/>
                <w:sz w:val="24"/>
                <w:szCs w:val="24"/>
                <w:lang w:eastAsia="en-US"/>
              </w:rPr>
              <w:t>Август -с</w:t>
            </w:r>
            <w:r w:rsidR="00632D88" w:rsidRPr="00E86B0F">
              <w:rPr>
                <w:rFonts w:ascii="Times New Roman" w:hAnsi="Times New Roman" w:cs="Times New Roman"/>
                <w:sz w:val="24"/>
                <w:szCs w:val="24"/>
                <w:lang w:eastAsia="en-US"/>
              </w:rPr>
              <w:t>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 xml:space="preserve">вобразовательных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D00458">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6"/>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E86B0F"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B169A0" w:rsidP="00252171">
      <w:pPr>
        <w:pStyle w:val="1"/>
        <w:spacing w:before="0" w:after="0" w:line="240" w:lineRule="auto"/>
        <w:jc w:val="right"/>
        <w:rPr>
          <w:rFonts w:cs="Times New Roman"/>
          <w:b w:val="0"/>
          <w:sz w:val="28"/>
          <w:szCs w:val="28"/>
        </w:rPr>
      </w:pPr>
      <w:r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rsidP="007E2D65">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 xml:space="preserve">о Центреобразования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профилей«Точка роста»</w:t>
      </w:r>
    </w:p>
    <w:p w:rsidR="00B169A0" w:rsidRPr="00E86B0F" w:rsidRDefault="00B169A0" w:rsidP="00B16568">
      <w:pPr>
        <w:pStyle w:val="1"/>
        <w:jc w:val="center"/>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B16568">
      <w:pPr>
        <w:pStyle w:val="1"/>
        <w:ind w:firstLine="720"/>
        <w:jc w:val="center"/>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7E2D65" w:rsidRDefault="00E86B0F" w:rsidP="007E2D65">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007E2D65">
        <w:rPr>
          <w:rFonts w:ascii="Times New Roman" w:eastAsia="Calibri" w:hAnsi="Times New Roman" w:cs="Times New Roman"/>
          <w:color w:val="auto"/>
          <w:sz w:val="28"/>
          <w:szCs w:val="28"/>
          <w:lang w:eastAsia="en-US"/>
        </w:rPr>
        <w:t xml:space="preserve">гуманитарного профилей, </w:t>
      </w:r>
      <w:r w:rsidRPr="00E86B0F">
        <w:rPr>
          <w:rFonts w:ascii="Times New Roman" w:eastAsia="Calibri" w:hAnsi="Times New Roman" w:cs="Times New Roman"/>
          <w:color w:val="auto"/>
          <w:sz w:val="28"/>
          <w:szCs w:val="28"/>
          <w:lang w:eastAsia="en-US"/>
        </w:rPr>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lastRenderedPageBreak/>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lastRenderedPageBreak/>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B16568">
      <w:pPr>
        <w:pStyle w:val="1"/>
        <w:ind w:firstLine="720"/>
        <w:jc w:val="center"/>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lastRenderedPageBreak/>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p>
    <w:tbl>
      <w:tblPr>
        <w:tblW w:w="5000" w:type="pct"/>
        <w:tblLayout w:type="fixed"/>
        <w:tblCellMar>
          <w:left w:w="40" w:type="dxa"/>
          <w:right w:w="40" w:type="dxa"/>
        </w:tblCellMar>
        <w:tblLook w:val="04A0"/>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C74" w:rsidRDefault="00B47C74" w:rsidP="00B31754">
      <w:pPr>
        <w:spacing w:line="240" w:lineRule="auto"/>
      </w:pPr>
      <w:r>
        <w:separator/>
      </w:r>
    </w:p>
  </w:endnote>
  <w:endnote w:type="continuationSeparator" w:id="1">
    <w:p w:rsidR="00B47C74" w:rsidRDefault="00B47C74" w:rsidP="00B317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C74" w:rsidRDefault="00B47C74" w:rsidP="00B31754">
      <w:pPr>
        <w:spacing w:line="240" w:lineRule="auto"/>
      </w:pPr>
      <w:r>
        <w:separator/>
      </w:r>
    </w:p>
  </w:footnote>
  <w:footnote w:type="continuationSeparator" w:id="1">
    <w:p w:rsidR="00B47C74" w:rsidRDefault="00B47C74" w:rsidP="00B31754">
      <w:pPr>
        <w:spacing w:line="240" w:lineRule="auto"/>
      </w:pPr>
      <w:r>
        <w:continuationSeparator/>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4">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5">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Pr>
          <w:rFonts w:ascii="Times New Roman" w:hAnsi="Times New Roman" w:cs="Times New Roman"/>
          <w:sz w:val="22"/>
        </w:rPr>
        <w:t xml:space="preserve"> -общая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6">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I</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38" w:rsidRPr="0091533C" w:rsidRDefault="004B3D25">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5131BA">
      <w:rPr>
        <w:rFonts w:ascii="Times New Roman" w:hAnsi="Times New Roman" w:cs="Times New Roman"/>
        <w:noProof/>
        <w:sz w:val="28"/>
        <w:szCs w:val="28"/>
      </w:rPr>
      <w:t>24</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A62FF"/>
    <w:rsid w:val="000B31C9"/>
    <w:rsid w:val="000B6869"/>
    <w:rsid w:val="000B6AC5"/>
    <w:rsid w:val="000C0CF6"/>
    <w:rsid w:val="000C46EE"/>
    <w:rsid w:val="000D2FF0"/>
    <w:rsid w:val="000D66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D25"/>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31BA"/>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B4436"/>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2D65"/>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41DD"/>
    <w:rsid w:val="00866778"/>
    <w:rsid w:val="00866B40"/>
    <w:rsid w:val="00871696"/>
    <w:rsid w:val="00872FC6"/>
    <w:rsid w:val="00882B33"/>
    <w:rsid w:val="00886C6C"/>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136C"/>
    <w:rsid w:val="00921F19"/>
    <w:rsid w:val="009247C8"/>
    <w:rsid w:val="00925C52"/>
    <w:rsid w:val="00926A0F"/>
    <w:rsid w:val="0092757A"/>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568"/>
    <w:rsid w:val="00B169A0"/>
    <w:rsid w:val="00B204C7"/>
    <w:rsid w:val="00B233BA"/>
    <w:rsid w:val="00B31703"/>
    <w:rsid w:val="00B31754"/>
    <w:rsid w:val="00B32099"/>
    <w:rsid w:val="00B341AB"/>
    <w:rsid w:val="00B346AB"/>
    <w:rsid w:val="00B346F8"/>
    <w:rsid w:val="00B378DB"/>
    <w:rsid w:val="00B40C6B"/>
    <w:rsid w:val="00B441C3"/>
    <w:rsid w:val="00B47C74"/>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07B37"/>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717"/>
    <w:rsid w:val="00C62885"/>
    <w:rsid w:val="00C65900"/>
    <w:rsid w:val="00C720EF"/>
    <w:rsid w:val="00C75E15"/>
    <w:rsid w:val="00C77938"/>
    <w:rsid w:val="00C85690"/>
    <w:rsid w:val="00C86083"/>
    <w:rsid w:val="00C96053"/>
    <w:rsid w:val="00CA3CF8"/>
    <w:rsid w:val="00CB2446"/>
    <w:rsid w:val="00CB513F"/>
    <w:rsid w:val="00CB68C2"/>
    <w:rsid w:val="00CC0D5A"/>
    <w:rsid w:val="00CC3721"/>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0458"/>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0D1B"/>
    <w:rsid w:val="00D81740"/>
    <w:rsid w:val="00D83470"/>
    <w:rsid w:val="00D93183"/>
    <w:rsid w:val="00DA2E0D"/>
    <w:rsid w:val="00DA4CBF"/>
    <w:rsid w:val="00DA5AD6"/>
    <w:rsid w:val="00DD0954"/>
    <w:rsid w:val="00DD706B"/>
    <w:rsid w:val="00DE207C"/>
    <w:rsid w:val="00DE249E"/>
    <w:rsid w:val="00DE5515"/>
    <w:rsid w:val="00DE6852"/>
    <w:rsid w:val="00DF2291"/>
    <w:rsid w:val="00DF678D"/>
    <w:rsid w:val="00DF6B5B"/>
    <w:rsid w:val="00E01FDD"/>
    <w:rsid w:val="00E0259C"/>
    <w:rsid w:val="00E0280D"/>
    <w:rsid w:val="00E04D08"/>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6C0A"/>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C7FA0"/>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31F3B-8EFA-42ED-BB7C-E4BAA4FA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4294967247</TotalTime>
  <Pages>1</Pages>
  <Words>7057</Words>
  <Characters>40228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Лёма</cp:lastModifiedBy>
  <cp:revision>4</cp:revision>
  <cp:lastPrinted>2019-03-15T09:22:00Z</cp:lastPrinted>
  <dcterms:created xsi:type="dcterms:W3CDTF">2019-03-25T13:34:00Z</dcterms:created>
  <dcterms:modified xsi:type="dcterms:W3CDTF">2019-05-30T06:39:00Z</dcterms:modified>
</cp:coreProperties>
</file>